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76" w:rsidRPr="00E33476" w:rsidRDefault="00E33476" w:rsidP="00E33476">
      <w:pPr>
        <w:pBdr>
          <w:bottom w:val="single" w:sz="36" w:space="0" w:color="EF7C00"/>
        </w:pBdr>
        <w:spacing w:after="300" w:line="48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de-CH"/>
        </w:rPr>
      </w:pPr>
      <w:r w:rsidRPr="00E33476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de-CH"/>
        </w:rPr>
        <w:t>Berechnung der durchschnittlichen wöchentlichen Arbeitszeit gemäss ARV 1</w:t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  <w:t>Chauffeure dürfen in einem Zeitraum von 26 Wochen höchstens 48 Stunden pro Woche arbeiten (Art. 8 ARV 1). Wie berechnet man diesen Durchschnitt, und welche Besonderheiten muss der Arbeitgeber bei der Überwachung beachten?</w:t>
      </w:r>
    </w:p>
    <w:p w:rsidR="00E33476" w:rsidRPr="00E33476" w:rsidRDefault="00E33476" w:rsidP="00E33476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de-CH"/>
        </w:rPr>
      </w:pPr>
      <w:r w:rsidRPr="00E33476">
        <w:rPr>
          <w:rFonts w:ascii="Arial" w:eastAsia="Times New Roman" w:hAnsi="Arial" w:cs="Arial"/>
          <w:noProof/>
          <w:color w:val="333333"/>
          <w:sz w:val="27"/>
          <w:szCs w:val="27"/>
          <w:lang w:eastAsia="de-CH"/>
        </w:rPr>
        <w:drawing>
          <wp:inline distT="0" distB="0" distL="0" distR="0" wp14:anchorId="3925C452" wp14:editId="66905594">
            <wp:extent cx="4572000" cy="2552700"/>
            <wp:effectExtent l="0" t="0" r="0" b="0"/>
            <wp:docPr id="1" name="Bild 1" descr="https://www.astag.ch/upload/tmp/480__725_web-rgb-symbol-recht-001-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tag.ch/upload/tmp/480__725_web-rgb-symbol-recht-001-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Der nach der ARV 1 für die Berechnung massgebliche 26-Wochen-Zeitraum ist als „rollender Zeitraum“ zu verstehen. Dies bedeutet, dass der 48-Stunden-Durchschnitt in </w:t>
      </w:r>
      <w:r w:rsidRPr="00E33476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  <w:t>jedem</w:t>
      </w: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 Zeitraum von 26 Wochen (unabhängig vom Kalendermonat oder Kalenderjahr) eingehalten sein muss.</w:t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b/>
          <w:bCs/>
          <w:color w:val="333333"/>
          <w:sz w:val="20"/>
          <w:szCs w:val="20"/>
          <w:lang w:eastAsia="de-CH"/>
        </w:rPr>
        <w:t>Besonderheiten:</w:t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Bei Absenzen während der Arbeitswoche wie Ferien, Feiertage, Krankheit/Unfall, Militär etc. muss der Arbeitgeber in der Arbeitgeberaufstellung (Art. 16 ARV 1) eine fiktive wöchentliche oder tägliche Stundenzahl eintragen. Beispiele:</w:t>
      </w:r>
    </w:p>
    <w:p w:rsidR="00E33476" w:rsidRPr="00E33476" w:rsidRDefault="00E33476" w:rsidP="00E33476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Bei einer 48-Std.-Woche müssen fiktive 48 Stunden eingetragen werden (oder 9,6 Std. pro Abwesenheitstag)</w:t>
      </w:r>
    </w:p>
    <w:p w:rsidR="00E33476" w:rsidRPr="00E33476" w:rsidRDefault="00E33476" w:rsidP="00E33476">
      <w:pPr>
        <w:numPr>
          <w:ilvl w:val="0"/>
          <w:numId w:val="1"/>
        </w:numPr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Bei einer 45-Std.-Woche müssen fiktive 45 Stunden eingetragen werden (oder 9 Std. pro Abwesenheitstag).</w:t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Im Unterschied dazu kann der Arbeitgeber Kompensationstage in der Aufstellung mit einer 0 („Null-Stunden“) eintragen. Denn die Kompensation durch Freizeit bezweckt ja gerade, den Arbeitszeitdurchschnitt zu senken. Kompensationstage müssen in der Aufstellung ausdrücklich als solche bezeichnet werden.</w:t>
      </w:r>
    </w:p>
    <w:p w:rsidR="00E33476" w:rsidRPr="00E33476" w:rsidRDefault="00E33476" w:rsidP="00E33476">
      <w:pPr>
        <w:spacing w:after="300" w:line="360" w:lineRule="atLeast"/>
        <w:rPr>
          <w:rFonts w:ascii="Arial" w:eastAsia="Times New Roman" w:hAnsi="Arial" w:cs="Arial"/>
          <w:color w:val="333333"/>
          <w:sz w:val="20"/>
          <w:szCs w:val="20"/>
          <w:lang w:eastAsia="de-CH"/>
        </w:rPr>
      </w:pP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 xml:space="preserve">Selbstverständlich ist es möglich, im Einzelarbeitsvertrag eine tiefere Wochenarbeitszeit vorzusehen (z. B. 45 Std.). In diesem Fall kann Mehrarbeit/Überstunden bis 48 Std. mittels Freizeit von gleicher </w:t>
      </w:r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lastRenderedPageBreak/>
        <w:t>Dauer oder durch einen Lohnzuschlag von 25 % ausgeglichen werden (Art. 321c Abs. 3 OR</w:t>
      </w:r>
      <w:hyperlink r:id="rId6" w:anchor="_ftn1" w:history="1">
        <w:r w:rsidRPr="00E33476">
          <w:rPr>
            <w:rFonts w:ascii="Arial" w:eastAsia="Times New Roman" w:hAnsi="Arial" w:cs="Arial"/>
            <w:color w:val="0060AE"/>
            <w:sz w:val="20"/>
            <w:szCs w:val="20"/>
            <w:lang w:eastAsia="de-CH"/>
          </w:rPr>
          <w:t>[1]</w:t>
        </w:r>
      </w:hyperlink>
      <w:r w:rsidRPr="00E33476">
        <w:rPr>
          <w:rFonts w:ascii="Arial" w:eastAsia="Times New Roman" w:hAnsi="Arial" w:cs="Arial"/>
          <w:color w:val="333333"/>
          <w:sz w:val="20"/>
          <w:szCs w:val="20"/>
          <w:lang w:eastAsia="de-CH"/>
        </w:rPr>
        <w:t>). Die Mehrarbeit, welche 48 Wochenstunden übersteigt, ist hingegen zwingend mit Freizeit zu kompensieren.</w:t>
      </w:r>
    </w:p>
    <w:p w:rsidR="00B76011" w:rsidRDefault="00B76011">
      <w:bookmarkStart w:id="0" w:name="_GoBack"/>
      <w:bookmarkEnd w:id="0"/>
    </w:p>
    <w:sectPr w:rsidR="00B760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3F22"/>
    <w:multiLevelType w:val="multilevel"/>
    <w:tmpl w:val="6AD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476"/>
    <w:rsid w:val="00AD4BB2"/>
    <w:rsid w:val="00B76011"/>
    <w:rsid w:val="00E3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91C3E"/>
  <w15:chartTrackingRefBased/>
  <w15:docId w15:val="{A80327AC-DE5F-43A7-A30D-648E109D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V:\ALLG\09-PR-UnterstBCtzung\09.40-Recht\ASTAG-Website-RD\MerkblA4tter%202016\Durchschnittliche20gemA4ss201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Gerber</dc:creator>
  <cp:keywords/>
  <dc:description/>
  <cp:lastModifiedBy>Urs Gerber</cp:lastModifiedBy>
  <cp:revision>3</cp:revision>
  <dcterms:created xsi:type="dcterms:W3CDTF">2017-04-19T18:57:00Z</dcterms:created>
  <dcterms:modified xsi:type="dcterms:W3CDTF">2019-02-05T12:33:00Z</dcterms:modified>
</cp:coreProperties>
</file>